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B37" w:rsidRPr="002E7B37" w:rsidRDefault="002E7B37" w:rsidP="002E7B37">
      <w:pPr>
        <w:pStyle w:val="NormalWeb"/>
        <w:shd w:val="clear" w:color="auto" w:fill="FFFFFF"/>
        <w:spacing w:before="0" w:beforeAutospacing="0" w:after="200" w:afterAutospacing="0" w:line="276" w:lineRule="auto"/>
        <w:ind w:right="300"/>
        <w:jc w:val="both"/>
        <w:textAlignment w:val="baseline"/>
        <w:rPr>
          <w:rFonts w:ascii="Sylfaen" w:eastAsiaTheme="minorHAnsi" w:hAnsi="Sylfaen" w:cs="Franklin Gothic Medium"/>
          <w:b/>
          <w:color w:val="231F20"/>
          <w:sz w:val="22"/>
          <w:szCs w:val="22"/>
        </w:rPr>
      </w:pPr>
      <w:bookmarkStart w:id="0" w:name="_GoBack"/>
      <w:bookmarkEnd w:id="0"/>
      <w:r w:rsidRPr="002E7B37">
        <w:rPr>
          <w:rFonts w:ascii="Sylfaen" w:eastAsiaTheme="minorHAnsi" w:hAnsi="Sylfaen" w:cs="Franklin Gothic Medium"/>
          <w:b/>
          <w:color w:val="231F20"/>
          <w:sz w:val="22"/>
          <w:szCs w:val="22"/>
        </w:rPr>
        <w:t>Universal Health Care: The Affordable Dream</w:t>
      </w:r>
    </w:p>
    <w:p w:rsidR="00A67951" w:rsidRDefault="00A96B8D" w:rsidP="00832367">
      <w:pPr>
        <w:autoSpaceDE w:val="0"/>
        <w:autoSpaceDN w:val="0"/>
        <w:adjustRightInd w:val="0"/>
        <w:jc w:val="both"/>
        <w:rPr>
          <w:rFonts w:ascii="Sylfaen" w:hAnsi="Sylfaen" w:cs="Franklin Gothic Medium"/>
          <w:color w:val="231F20"/>
        </w:rPr>
      </w:pPr>
      <w:r w:rsidRPr="003D7ED3">
        <w:rPr>
          <w:rFonts w:ascii="Sylfaen" w:hAnsi="Sylfaen" w:cs="Franklin Gothic Medium"/>
          <w:bCs/>
          <w:color w:val="231F20"/>
        </w:rPr>
        <w:t>WHO</w:t>
      </w:r>
      <w:r w:rsidRPr="003D7ED3">
        <w:rPr>
          <w:rFonts w:ascii="Sylfaen" w:hAnsi="Sylfaen" w:cs="Franklin Gothic Medium"/>
          <w:color w:val="231F20"/>
        </w:rPr>
        <w:t xml:space="preserve"> published the World health report 2010, entitled </w:t>
      </w:r>
      <w:r w:rsidRPr="003D7ED3">
        <w:rPr>
          <w:rFonts w:ascii="Sylfaen" w:hAnsi="Sylfaen" w:cs="Franklin Gothic Medium"/>
          <w:bCs/>
          <w:color w:val="231F20"/>
        </w:rPr>
        <w:t xml:space="preserve">Health systems financing: the path to universal coverage. </w:t>
      </w:r>
      <w:r w:rsidR="000A52DB" w:rsidRPr="003D7ED3">
        <w:rPr>
          <w:rFonts w:ascii="Sylfaen" w:hAnsi="Sylfaen" w:cs="Franklin Gothic Medium"/>
          <w:color w:val="231F20"/>
        </w:rPr>
        <w:t xml:space="preserve">On 12 December 2012, The </w:t>
      </w:r>
      <w:r w:rsidR="000A52DB" w:rsidRPr="003D7ED3">
        <w:rPr>
          <w:rFonts w:ascii="Sylfaen" w:hAnsi="Sylfaen" w:cs="Franklin Gothic Medium"/>
          <w:bCs/>
          <w:color w:val="231F20"/>
        </w:rPr>
        <w:t>United Nations</w:t>
      </w:r>
      <w:r w:rsidR="000A52DB" w:rsidRPr="003D7ED3">
        <w:rPr>
          <w:rFonts w:ascii="Sylfaen" w:hAnsi="Sylfaen" w:cs="Franklin Gothic Medium"/>
          <w:color w:val="231F20"/>
        </w:rPr>
        <w:t xml:space="preserve"> General Assembly adopted a resolution on “</w:t>
      </w:r>
      <w:r w:rsidR="000A52DB" w:rsidRPr="003D7ED3">
        <w:rPr>
          <w:rFonts w:ascii="Sylfaen" w:hAnsi="Sylfaen" w:cs="Franklin Gothic Medium"/>
          <w:bCs/>
          <w:color w:val="231F20"/>
        </w:rPr>
        <w:t>Universal Health Coverage</w:t>
      </w:r>
      <w:r w:rsidRPr="003D7ED3">
        <w:rPr>
          <w:rFonts w:ascii="Sylfaen" w:hAnsi="Sylfaen" w:cs="Franklin Gothic Medium"/>
          <w:color w:val="231F20"/>
        </w:rPr>
        <w:t xml:space="preserve">”, which </w:t>
      </w:r>
      <w:r w:rsidR="000A52DB" w:rsidRPr="003D7ED3">
        <w:rPr>
          <w:rFonts w:ascii="Sylfaen" w:hAnsi="Sylfaen" w:cs="Franklin Gothic Medium"/>
          <w:color w:val="231F20"/>
        </w:rPr>
        <w:t>urging governments to move towards providing all people with access to affordable, quality health-care services</w:t>
      </w:r>
      <w:r w:rsidRPr="003D7ED3">
        <w:rPr>
          <w:rFonts w:ascii="Sylfaen" w:hAnsi="Sylfaen" w:cs="Franklin Gothic Medium"/>
          <w:color w:val="231F20"/>
        </w:rPr>
        <w:t xml:space="preserve">. </w:t>
      </w:r>
    </w:p>
    <w:p w:rsidR="009955BC" w:rsidRDefault="00A67951" w:rsidP="00832367">
      <w:pPr>
        <w:autoSpaceDE w:val="0"/>
        <w:autoSpaceDN w:val="0"/>
        <w:adjustRightInd w:val="0"/>
        <w:jc w:val="both"/>
        <w:rPr>
          <w:rFonts w:ascii="Sylfaen" w:hAnsi="Sylfaen" w:cs="Franklin Gothic Medium"/>
          <w:color w:val="231F20"/>
        </w:rPr>
      </w:pPr>
      <w:r w:rsidRPr="003D7ED3">
        <w:rPr>
          <w:rFonts w:ascii="Sylfaen" w:hAnsi="Sylfaen" w:cs="Franklin Gothic Medium"/>
          <w:color w:val="231F20"/>
        </w:rPr>
        <w:t xml:space="preserve">The way forward is dependent on reforms towards universal health coverage (UHC) that prioritize access to essential, quality health services, with financing mechanisms that protect people from being pushed into poverty or kept in poverty and to access the health services they need. </w:t>
      </w:r>
    </w:p>
    <w:p w:rsidR="00A67951" w:rsidRDefault="00A67951" w:rsidP="00A67951">
      <w:pPr>
        <w:pStyle w:val="NormalWeb"/>
        <w:shd w:val="clear" w:color="auto" w:fill="FFFFFF"/>
        <w:spacing w:before="0" w:beforeAutospacing="0" w:after="200" w:afterAutospacing="0" w:line="276" w:lineRule="auto"/>
        <w:ind w:right="300"/>
        <w:jc w:val="both"/>
        <w:textAlignment w:val="baseline"/>
        <w:rPr>
          <w:rFonts w:ascii="Sylfaen" w:hAnsi="Sylfaen" w:cs="Franklin Gothic Medium"/>
          <w:color w:val="231F20"/>
          <w:sz w:val="22"/>
          <w:szCs w:val="22"/>
        </w:rPr>
      </w:pPr>
      <w:r w:rsidRPr="00CA6655">
        <w:rPr>
          <w:rFonts w:ascii="Sylfaen" w:hAnsi="Sylfaen" w:cs="Franklin Gothic Medium"/>
          <w:color w:val="231F20"/>
          <w:sz w:val="22"/>
          <w:szCs w:val="22"/>
        </w:rPr>
        <w:t>As Dr Tedros Adhanom Ghebreyesus says “Our top priority must be to support national health authorities’ efforts to strengthen all the building blocks of health systems and to enact policies aimed at ensuring health care is equitable and affordable for all”.</w:t>
      </w:r>
    </w:p>
    <w:p w:rsidR="00A67951" w:rsidRDefault="00A67951" w:rsidP="00A67951">
      <w:pPr>
        <w:autoSpaceDE w:val="0"/>
        <w:autoSpaceDN w:val="0"/>
        <w:adjustRightInd w:val="0"/>
        <w:jc w:val="both"/>
        <w:rPr>
          <w:rFonts w:ascii="Sylfaen" w:hAnsi="Sylfaen" w:cs="Franklin Gothic Medium"/>
          <w:bCs/>
          <w:color w:val="231F20"/>
        </w:rPr>
      </w:pPr>
      <w:r w:rsidRPr="003D7ED3">
        <w:rPr>
          <w:rFonts w:ascii="Sylfaen" w:hAnsi="Sylfaen" w:cs="Franklin Gothic Medium"/>
          <w:bCs/>
          <w:color w:val="231F20"/>
        </w:rPr>
        <w:t xml:space="preserve">Reaching UHC is imperative to the achievement of SDG 3 for 2030 – Ensure healthy lives and promotes well-being for all at all ages – and its importance is recognized across the global public health community. This is reflected in SDG sub-goal 3.8: “Achieve universal health coverage (UHC), including financial risk protection, access to quality essential health care services, and access to safe, effective, quality, and affordable essential medicines and vaccines for all”. </w:t>
      </w:r>
    </w:p>
    <w:p w:rsidR="00762C4F" w:rsidRPr="00762C4F" w:rsidRDefault="00762C4F" w:rsidP="00762C4F">
      <w:pPr>
        <w:autoSpaceDE w:val="0"/>
        <w:autoSpaceDN w:val="0"/>
        <w:adjustRightInd w:val="0"/>
        <w:jc w:val="both"/>
        <w:rPr>
          <w:rFonts w:ascii="Sylfaen" w:hAnsi="Sylfaen" w:cs="Franklin Gothic Medium"/>
          <w:bCs/>
          <w:color w:val="231F20"/>
        </w:rPr>
      </w:pPr>
      <w:r w:rsidRPr="0033144F">
        <w:rPr>
          <w:rFonts w:ascii="Sylfaen" w:hAnsi="Sylfaen" w:cs="Franklin Gothic Medium"/>
          <w:bCs/>
          <w:color w:val="231F20"/>
        </w:rPr>
        <w:t>Achieving universal health coverage is an ambitious goal, but it is one that can and must be achieved to create a healthier and more equitable world. </w:t>
      </w:r>
      <w:r w:rsidRPr="00762C4F">
        <w:rPr>
          <w:rFonts w:ascii="Sylfaen" w:hAnsi="Sylfaen" w:cs="Franklin Gothic Medium"/>
          <w:bCs/>
          <w:color w:val="231F20"/>
        </w:rPr>
        <w:t>Georgia has already reported voluntarily to the United Nations High-level Political Forum on their im</w:t>
      </w:r>
      <w:r w:rsidRPr="00762C4F">
        <w:rPr>
          <w:rFonts w:ascii="Sylfaen" w:hAnsi="Sylfaen" w:cs="Franklin Gothic Medium"/>
          <w:bCs/>
          <w:color w:val="231F20"/>
        </w:rPr>
        <w:lastRenderedPageBreak/>
        <w:t xml:space="preserve">plementation of Agenda 2030. All 17 SDGs have been declared a priority, and the goals and targets are integrated in the Government of Georgia (GoG) Annual Action Plan. In 2017 an SDG Council, has been created, and is in charge of coordination of nationalization of goals, as well as for monitoring their implementation. Health is an essential component and driver of the SDGs, which reflect the complexity, as well as the multidimensional and </w:t>
      </w:r>
      <w:r w:rsidR="00F33C71" w:rsidRPr="00762C4F">
        <w:rPr>
          <w:rFonts w:ascii="Sylfaen" w:hAnsi="Sylfaen" w:cs="Franklin Gothic Medium"/>
          <w:bCs/>
          <w:color w:val="231F20"/>
        </w:rPr>
        <w:t>multispectral</w:t>
      </w:r>
      <w:r w:rsidRPr="00762C4F">
        <w:rPr>
          <w:rFonts w:ascii="Sylfaen" w:hAnsi="Sylfaen" w:cs="Franklin Gothic Medium"/>
          <w:bCs/>
          <w:color w:val="231F20"/>
        </w:rPr>
        <w:t xml:space="preserve"> nature, of health and its determinants. </w:t>
      </w:r>
    </w:p>
    <w:p w:rsidR="00A67951" w:rsidRDefault="00C4436D" w:rsidP="00A67951">
      <w:pPr>
        <w:autoSpaceDE w:val="0"/>
        <w:autoSpaceDN w:val="0"/>
        <w:adjustRightInd w:val="0"/>
        <w:jc w:val="both"/>
        <w:rPr>
          <w:rFonts w:ascii="Sylfaen" w:hAnsi="Sylfaen" w:cs="Franklin Gothic Medium"/>
          <w:bCs/>
          <w:color w:val="231F20"/>
        </w:rPr>
      </w:pPr>
      <w:r w:rsidRPr="00A67951">
        <w:rPr>
          <w:rFonts w:ascii="Sylfaen" w:hAnsi="Sylfaen" w:cs="Franklin Gothic Medium"/>
          <w:bCs/>
          <w:color w:val="231F20"/>
        </w:rPr>
        <w:t>UHC2030</w:t>
      </w:r>
      <w:r w:rsidR="00A67951" w:rsidRPr="00A67951">
        <w:rPr>
          <w:rFonts w:ascii="Sylfaen" w:hAnsi="Sylfaen" w:cs="Franklin Gothic Medium"/>
          <w:bCs/>
          <w:color w:val="231F20"/>
        </w:rPr>
        <w:t xml:space="preserve"> is a multi-stakeholder platform to catalyze equitable and sustainable progress towards universal health coverage</w:t>
      </w:r>
      <w:r w:rsidR="00A67951">
        <w:rPr>
          <w:rFonts w:ascii="Sylfaen" w:hAnsi="Sylfaen" w:cs="Franklin Gothic Medium"/>
          <w:bCs/>
          <w:color w:val="231F20"/>
        </w:rPr>
        <w:t xml:space="preserve">. </w:t>
      </w:r>
      <w:r w:rsidR="00A67951" w:rsidRPr="00A67951">
        <w:rPr>
          <w:rFonts w:ascii="Sylfaen" w:hAnsi="Sylfaen" w:cs="Franklin Gothic Medium"/>
          <w:bCs/>
          <w:color w:val="231F20"/>
        </w:rPr>
        <w:t xml:space="preserve">Signing the UHC2030 Global Compact demonstrates high-level commitment to take action to make progress towards UHC. It means that signatories commit to work together to accelerate progress towards UHC through building equitable, resilient and sustainable health systems. </w:t>
      </w:r>
    </w:p>
    <w:p w:rsidR="00A67951" w:rsidRDefault="00A67951" w:rsidP="00A67951">
      <w:pPr>
        <w:autoSpaceDE w:val="0"/>
        <w:autoSpaceDN w:val="0"/>
        <w:adjustRightInd w:val="0"/>
        <w:jc w:val="both"/>
        <w:rPr>
          <w:rFonts w:ascii="Sylfaen" w:hAnsi="Sylfaen" w:cs="Franklin Gothic Medium"/>
          <w:bCs/>
          <w:color w:val="231F20"/>
        </w:rPr>
      </w:pPr>
      <w:r w:rsidRPr="001D0E8F">
        <w:rPr>
          <w:rFonts w:ascii="Sylfaen" w:hAnsi="Sylfaen" w:cs="Franklin Gothic Medium"/>
          <w:bCs/>
          <w:color w:val="231F20"/>
        </w:rPr>
        <w:t>The Universal Health Care Program launched by the Go</w:t>
      </w:r>
      <w:r w:rsidR="00B81052">
        <w:rPr>
          <w:rFonts w:ascii="Sylfaen" w:hAnsi="Sylfaen" w:cs="Franklin Gothic Medium"/>
          <w:bCs/>
          <w:color w:val="231F20"/>
        </w:rPr>
        <w:t>vernment of Georgia in 2013 has demonstrated</w:t>
      </w:r>
      <w:r w:rsidR="00B81052" w:rsidRPr="00B81052">
        <w:rPr>
          <w:rFonts w:ascii="Sylfaen" w:hAnsi="Sylfaen" w:cs="Franklin Gothic Medium"/>
          <w:bCs/>
          <w:color w:val="231F20"/>
        </w:rPr>
        <w:t xml:space="preserve"> that universal health care is not just the luxury of rich countries.</w:t>
      </w:r>
      <w:r w:rsidR="00B81052">
        <w:rPr>
          <w:rFonts w:ascii="Sylfaen" w:hAnsi="Sylfaen" w:cs="Franklin Gothic Medium"/>
          <w:bCs/>
          <w:color w:val="231F20"/>
        </w:rPr>
        <w:t xml:space="preserve"> Political commitment and cost-effective strategies has </w:t>
      </w:r>
      <w:r w:rsidRPr="001D0E8F">
        <w:rPr>
          <w:rFonts w:ascii="Sylfaen" w:hAnsi="Sylfaen" w:cs="Franklin Gothic Medium"/>
          <w:bCs/>
          <w:color w:val="231F20"/>
        </w:rPr>
        <w:t>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B81052" w:rsidRPr="0033144F" w:rsidRDefault="00B81052" w:rsidP="00B81052">
      <w:pPr>
        <w:autoSpaceDE w:val="0"/>
        <w:autoSpaceDN w:val="0"/>
        <w:adjustRightInd w:val="0"/>
        <w:jc w:val="both"/>
        <w:rPr>
          <w:rFonts w:ascii="Sylfaen" w:hAnsi="Sylfaen" w:cs="Franklin Gothic Medium"/>
          <w:bCs/>
          <w:color w:val="231F20"/>
        </w:rPr>
      </w:pPr>
      <w:r w:rsidRPr="0033144F">
        <w:rPr>
          <w:rFonts w:ascii="Sylfaen" w:hAnsi="Sylfaen" w:cs="Franklin Gothic Medium"/>
          <w:bCs/>
          <w:color w:val="231F20"/>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w:t>
      </w:r>
      <w:r w:rsidR="0033144F">
        <w:rPr>
          <w:rFonts w:ascii="Sylfaen" w:hAnsi="Sylfaen" w:cs="Franklin Gothic Medium"/>
          <w:bCs/>
          <w:color w:val="231F20"/>
        </w:rPr>
        <w:t>7</w:t>
      </w:r>
      <w:r w:rsidRPr="0033144F">
        <w:rPr>
          <w:rFonts w:ascii="Sylfaen" w:hAnsi="Sylfaen" w:cs="Franklin Gothic Medium"/>
          <w:bCs/>
          <w:color w:val="231F20"/>
        </w:rPr>
        <w:t xml:space="preserve"> till 4 and exceeded the level </w:t>
      </w:r>
      <w:r w:rsidRPr="0033144F">
        <w:rPr>
          <w:rFonts w:ascii="Sylfaen" w:hAnsi="Sylfaen" w:cs="Franklin Gothic Medium"/>
          <w:bCs/>
          <w:color w:val="231F20"/>
        </w:rPr>
        <w:lastRenderedPageBreak/>
        <w:t xml:space="preserve">recommended by the World Bank for developing countries. The hospitalization rate per 100 inhabitants increased to 11.3 (2012) to </w:t>
      </w:r>
      <w:r w:rsidR="0033144F">
        <w:rPr>
          <w:rFonts w:ascii="Sylfaen" w:hAnsi="Sylfaen" w:cs="Franklin Gothic Medium"/>
          <w:bCs/>
          <w:color w:val="231F20"/>
        </w:rPr>
        <w:t xml:space="preserve">14.2 </w:t>
      </w:r>
      <w:r w:rsidRPr="0033144F">
        <w:rPr>
          <w:rFonts w:ascii="Sylfaen" w:hAnsi="Sylfaen" w:cs="Franklin Gothic Medium"/>
          <w:bCs/>
          <w:color w:val="231F20"/>
        </w:rPr>
        <w:t>(201</w:t>
      </w:r>
      <w:r w:rsidR="0033144F">
        <w:rPr>
          <w:rFonts w:ascii="Sylfaen" w:hAnsi="Sylfaen" w:cs="Franklin Gothic Medium"/>
          <w:bCs/>
          <w:color w:val="231F20"/>
        </w:rPr>
        <w:t>7</w:t>
      </w:r>
      <w:r w:rsidRPr="0033144F">
        <w:rPr>
          <w:rFonts w:ascii="Sylfaen" w:hAnsi="Sylfaen" w:cs="Franklin Gothic Medium"/>
          <w:bCs/>
          <w:color w:val="231F20"/>
        </w:rPr>
        <w:t>).</w:t>
      </w:r>
    </w:p>
    <w:p w:rsidR="00B81052" w:rsidRPr="0033144F" w:rsidRDefault="00B81052" w:rsidP="00B81052">
      <w:pPr>
        <w:autoSpaceDE w:val="0"/>
        <w:autoSpaceDN w:val="0"/>
        <w:adjustRightInd w:val="0"/>
        <w:jc w:val="both"/>
        <w:rPr>
          <w:rFonts w:ascii="Sylfaen" w:hAnsi="Sylfaen" w:cs="Franklin Gothic Medium"/>
          <w:bCs/>
          <w:color w:val="231F20"/>
        </w:rPr>
      </w:pPr>
      <w:r w:rsidRPr="0033144F">
        <w:rPr>
          <w:rFonts w:ascii="Sylfaen" w:hAnsi="Sylfaen" w:cs="Franklin Gothic Medium"/>
          <w:bCs/>
          <w:color w:val="231F20"/>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B81052" w:rsidRPr="0033144F" w:rsidRDefault="00B81052" w:rsidP="00B81052">
      <w:pPr>
        <w:autoSpaceDE w:val="0"/>
        <w:autoSpaceDN w:val="0"/>
        <w:adjustRightInd w:val="0"/>
        <w:jc w:val="both"/>
        <w:rPr>
          <w:rFonts w:ascii="Sylfaen" w:hAnsi="Sylfaen" w:cs="Franklin Gothic Medium"/>
          <w:bCs/>
          <w:color w:val="231F20"/>
        </w:rPr>
      </w:pPr>
      <w:r w:rsidRPr="0033144F">
        <w:rPr>
          <w:rFonts w:ascii="Sylfaen" w:hAnsi="Sylfaen" w:cs="Franklin Gothic Medium"/>
          <w:bCs/>
          <w:color w:val="231F20"/>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2E5B5F" w:rsidRDefault="00B81052" w:rsidP="002E5B5F">
      <w:pPr>
        <w:autoSpaceDE w:val="0"/>
        <w:autoSpaceDN w:val="0"/>
        <w:adjustRightInd w:val="0"/>
        <w:spacing w:before="240" w:after="240"/>
        <w:jc w:val="both"/>
        <w:rPr>
          <w:rFonts w:ascii="Sylfaen" w:hAnsi="Sylfaen" w:cs="Franklin Gothic Medium"/>
          <w:bCs/>
          <w:color w:val="231F20"/>
        </w:rPr>
      </w:pPr>
      <w:r w:rsidRPr="0033144F">
        <w:rPr>
          <w:rFonts w:ascii="Sylfaen" w:hAnsi="Sylfaen" w:cs="Franklin Gothic Medium"/>
          <w:bCs/>
          <w:color w:val="231F20"/>
        </w:rPr>
        <w:t xml:space="preserve">In this regard I want to highlight our key developments: In July 2017, the Georgian Ministry of Labor, Health, and Social Affairs introduced policies for enhanced protection for poorer and sicker people by expanding their benefit package and including medicines for major Non-Communicable Diseases – cardio-vascular, type 2 diabetes, obstructive pulmonary disease and thyroid conditions which together with cancer account for more than 80 percent of the burden of disease in Georgia. </w:t>
      </w:r>
      <w:r w:rsidR="002E5B5F" w:rsidRPr="002E5B5F">
        <w:rPr>
          <w:rFonts w:ascii="Sylfaen" w:hAnsi="Sylfaen" w:cs="Franklin Gothic Medium"/>
          <w:bCs/>
          <w:color w:val="231F20"/>
        </w:rPr>
        <w:t>From September 2018, program was expanded and covers not only social vulnerable groups, also pensions and disabled persons.</w:t>
      </w:r>
    </w:p>
    <w:p w:rsidR="00762C4F" w:rsidRPr="0033144F" w:rsidRDefault="00762C4F" w:rsidP="00762C4F">
      <w:pPr>
        <w:autoSpaceDE w:val="0"/>
        <w:autoSpaceDN w:val="0"/>
        <w:adjustRightInd w:val="0"/>
        <w:jc w:val="both"/>
        <w:rPr>
          <w:rFonts w:ascii="Sylfaen" w:hAnsi="Sylfaen" w:cs="Franklin Gothic Medium"/>
          <w:bCs/>
          <w:color w:val="231F20"/>
        </w:rPr>
      </w:pPr>
      <w:r w:rsidRPr="0033144F">
        <w:rPr>
          <w:rFonts w:ascii="Sylfaen" w:hAnsi="Sylfaen" w:cs="Franklin Gothic Medium"/>
          <w:bCs/>
          <w:color w:val="231F20"/>
        </w:rPr>
        <w:t xml:space="preserve">Last year, I had an honor to present in detail about our flagship program implemented by the Ministry with support of our international partners US CDC, WHO and pharmaceutical company Gilead Sciences - the world first Hepatitis C elimination, which is the risk of a slow progression to chronic liver disease, cancer, and death. I would like to share with you the recent progress and the numbers. But these are not only the numbers. Beyond these numbers are people's lives, their families and prospects for an entire society. In just 3 years, we screened </w:t>
      </w:r>
      <w:r>
        <w:rPr>
          <w:rFonts w:ascii="Sylfaen" w:hAnsi="Sylfaen" w:cs="Franklin Gothic Medium"/>
          <w:bCs/>
          <w:color w:val="231F20"/>
        </w:rPr>
        <w:t>2,1</w:t>
      </w:r>
      <w:r w:rsidRPr="0033144F">
        <w:rPr>
          <w:rFonts w:ascii="Sylfaen" w:hAnsi="Sylfaen" w:cs="Franklin Gothic Medium"/>
          <w:bCs/>
          <w:color w:val="231F20"/>
        </w:rPr>
        <w:t xml:space="preserve">mill person, enrolled over 62000 and over </w:t>
      </w:r>
      <w:r>
        <w:rPr>
          <w:rFonts w:ascii="Sylfaen" w:hAnsi="Sylfaen" w:cs="Franklin Gothic Medium"/>
          <w:bCs/>
          <w:color w:val="231F20"/>
        </w:rPr>
        <w:t>50000</w:t>
      </w:r>
      <w:r w:rsidRPr="0033144F">
        <w:rPr>
          <w:rFonts w:ascii="Sylfaen" w:hAnsi="Sylfaen" w:cs="Franklin Gothic Medium"/>
          <w:bCs/>
          <w:color w:val="231F20"/>
        </w:rPr>
        <w:t xml:space="preserve"> completed the </w:t>
      </w:r>
      <w:r w:rsidRPr="0033144F">
        <w:rPr>
          <w:rFonts w:ascii="Sylfaen" w:hAnsi="Sylfaen" w:cs="Franklin Gothic Medium"/>
          <w:bCs/>
          <w:color w:val="231F20"/>
        </w:rPr>
        <w:lastRenderedPageBreak/>
        <w:t xml:space="preserve">treatment with free high-quality Hepatitis C drugs - Harvoni, provided by Gilead. We have over 98% treatment success rate and the best coverage - 30% when the world's rate is 7-9%. </w:t>
      </w:r>
    </w:p>
    <w:p w:rsidR="00B81052" w:rsidRPr="0033144F" w:rsidRDefault="00B81052" w:rsidP="00B81052">
      <w:pPr>
        <w:autoSpaceDE w:val="0"/>
        <w:autoSpaceDN w:val="0"/>
        <w:adjustRightInd w:val="0"/>
        <w:jc w:val="both"/>
        <w:rPr>
          <w:rFonts w:ascii="Sylfaen" w:hAnsi="Sylfaen" w:cs="Franklin Gothic Medium"/>
          <w:bCs/>
          <w:color w:val="231F20"/>
        </w:rPr>
      </w:pPr>
      <w:r w:rsidRPr="0033144F">
        <w:rPr>
          <w:rFonts w:ascii="Sylfaen" w:hAnsi="Sylfaen" w:cs="Franklin Gothic Medium"/>
          <w:bCs/>
          <w:color w:val="231F20"/>
        </w:rPr>
        <w:t xml:space="preserve">With towards achieving the 2030 Agenda for Sustainable Development - leaving no one behind, I want to highlight our sharper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B81052" w:rsidRPr="0033144F" w:rsidRDefault="00B81052" w:rsidP="00B81052">
      <w:pPr>
        <w:autoSpaceDE w:val="0"/>
        <w:autoSpaceDN w:val="0"/>
        <w:adjustRightInd w:val="0"/>
        <w:jc w:val="both"/>
        <w:rPr>
          <w:rFonts w:ascii="Sylfaen" w:hAnsi="Sylfaen" w:cs="Franklin Gothic Medium"/>
          <w:bCs/>
          <w:color w:val="231F20"/>
        </w:rPr>
      </w:pPr>
    </w:p>
    <w:p w:rsidR="00307476" w:rsidRPr="003D7ED3" w:rsidRDefault="00B81052" w:rsidP="00762C4F">
      <w:pPr>
        <w:autoSpaceDE w:val="0"/>
        <w:autoSpaceDN w:val="0"/>
        <w:adjustRightInd w:val="0"/>
        <w:jc w:val="both"/>
        <w:rPr>
          <w:rFonts w:ascii="Sylfaen" w:hAnsi="Sylfaen"/>
        </w:rPr>
      </w:pPr>
      <w:r w:rsidRPr="0033144F">
        <w:rPr>
          <w:rFonts w:ascii="Sylfaen" w:hAnsi="Sylfaen" w:cs="Franklin Gothic Medium"/>
          <w:bCs/>
          <w:color w:val="231F20"/>
        </w:rPr>
        <w:t>Thank you for your attention!</w:t>
      </w:r>
      <w:r w:rsidR="00762C4F" w:rsidRPr="003D7ED3">
        <w:rPr>
          <w:rFonts w:ascii="Sylfaen" w:hAnsi="Sylfaen"/>
        </w:rPr>
        <w:t xml:space="preserve"> </w:t>
      </w:r>
    </w:p>
    <w:p w:rsidR="00790D92" w:rsidRPr="003D7ED3" w:rsidRDefault="00790D92" w:rsidP="00832367">
      <w:pPr>
        <w:jc w:val="both"/>
        <w:rPr>
          <w:rFonts w:ascii="Sylfaen" w:hAnsi="Sylfaen"/>
        </w:rPr>
      </w:pPr>
    </w:p>
    <w:sectPr w:rsidR="00790D92" w:rsidRPr="003D7E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B4736"/>
    <w:multiLevelType w:val="hybridMultilevel"/>
    <w:tmpl w:val="106C6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8D6DD0"/>
    <w:multiLevelType w:val="hybridMultilevel"/>
    <w:tmpl w:val="2CDEA3A4"/>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40C7B"/>
    <w:multiLevelType w:val="hybridMultilevel"/>
    <w:tmpl w:val="1CFA1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B6D2E"/>
    <w:multiLevelType w:val="hybridMultilevel"/>
    <w:tmpl w:val="AF2C96AA"/>
    <w:lvl w:ilvl="0" w:tplc="95742524">
      <w:start w:val="1"/>
      <w:numFmt w:val="bullet"/>
      <w:lvlText w:val="•"/>
      <w:lvlJc w:val="left"/>
      <w:pPr>
        <w:tabs>
          <w:tab w:val="num" w:pos="720"/>
        </w:tabs>
        <w:ind w:left="720" w:hanging="360"/>
      </w:pPr>
      <w:rPr>
        <w:rFonts w:ascii="Arial" w:hAnsi="Arial" w:hint="default"/>
      </w:rPr>
    </w:lvl>
    <w:lvl w:ilvl="1" w:tplc="618A5892">
      <w:numFmt w:val="bullet"/>
      <w:lvlText w:val="–"/>
      <w:lvlJc w:val="left"/>
      <w:pPr>
        <w:tabs>
          <w:tab w:val="num" w:pos="1440"/>
        </w:tabs>
        <w:ind w:left="1440" w:hanging="360"/>
      </w:pPr>
      <w:rPr>
        <w:rFonts w:ascii="Arial" w:hAnsi="Arial" w:hint="default"/>
      </w:rPr>
    </w:lvl>
    <w:lvl w:ilvl="2" w:tplc="36E44B2A" w:tentative="1">
      <w:start w:val="1"/>
      <w:numFmt w:val="bullet"/>
      <w:lvlText w:val="•"/>
      <w:lvlJc w:val="left"/>
      <w:pPr>
        <w:tabs>
          <w:tab w:val="num" w:pos="2160"/>
        </w:tabs>
        <w:ind w:left="2160" w:hanging="360"/>
      </w:pPr>
      <w:rPr>
        <w:rFonts w:ascii="Arial" w:hAnsi="Arial" w:hint="default"/>
      </w:rPr>
    </w:lvl>
    <w:lvl w:ilvl="3" w:tplc="19401074" w:tentative="1">
      <w:start w:val="1"/>
      <w:numFmt w:val="bullet"/>
      <w:lvlText w:val="•"/>
      <w:lvlJc w:val="left"/>
      <w:pPr>
        <w:tabs>
          <w:tab w:val="num" w:pos="2880"/>
        </w:tabs>
        <w:ind w:left="2880" w:hanging="360"/>
      </w:pPr>
      <w:rPr>
        <w:rFonts w:ascii="Arial" w:hAnsi="Arial" w:hint="default"/>
      </w:rPr>
    </w:lvl>
    <w:lvl w:ilvl="4" w:tplc="6E1248C2" w:tentative="1">
      <w:start w:val="1"/>
      <w:numFmt w:val="bullet"/>
      <w:lvlText w:val="•"/>
      <w:lvlJc w:val="left"/>
      <w:pPr>
        <w:tabs>
          <w:tab w:val="num" w:pos="3600"/>
        </w:tabs>
        <w:ind w:left="3600" w:hanging="360"/>
      </w:pPr>
      <w:rPr>
        <w:rFonts w:ascii="Arial" w:hAnsi="Arial" w:hint="default"/>
      </w:rPr>
    </w:lvl>
    <w:lvl w:ilvl="5" w:tplc="D1180854" w:tentative="1">
      <w:start w:val="1"/>
      <w:numFmt w:val="bullet"/>
      <w:lvlText w:val="•"/>
      <w:lvlJc w:val="left"/>
      <w:pPr>
        <w:tabs>
          <w:tab w:val="num" w:pos="4320"/>
        </w:tabs>
        <w:ind w:left="4320" w:hanging="360"/>
      </w:pPr>
      <w:rPr>
        <w:rFonts w:ascii="Arial" w:hAnsi="Arial" w:hint="default"/>
      </w:rPr>
    </w:lvl>
    <w:lvl w:ilvl="6" w:tplc="CD360ACC" w:tentative="1">
      <w:start w:val="1"/>
      <w:numFmt w:val="bullet"/>
      <w:lvlText w:val="•"/>
      <w:lvlJc w:val="left"/>
      <w:pPr>
        <w:tabs>
          <w:tab w:val="num" w:pos="5040"/>
        </w:tabs>
        <w:ind w:left="5040" w:hanging="360"/>
      </w:pPr>
      <w:rPr>
        <w:rFonts w:ascii="Arial" w:hAnsi="Arial" w:hint="default"/>
      </w:rPr>
    </w:lvl>
    <w:lvl w:ilvl="7" w:tplc="A5844B8A" w:tentative="1">
      <w:start w:val="1"/>
      <w:numFmt w:val="bullet"/>
      <w:lvlText w:val="•"/>
      <w:lvlJc w:val="left"/>
      <w:pPr>
        <w:tabs>
          <w:tab w:val="num" w:pos="5760"/>
        </w:tabs>
        <w:ind w:left="5760" w:hanging="360"/>
      </w:pPr>
      <w:rPr>
        <w:rFonts w:ascii="Arial" w:hAnsi="Arial" w:hint="default"/>
      </w:rPr>
    </w:lvl>
    <w:lvl w:ilvl="8" w:tplc="402658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822432"/>
    <w:multiLevelType w:val="hybridMultilevel"/>
    <w:tmpl w:val="A29A8D3E"/>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8619B9"/>
    <w:multiLevelType w:val="hybridMultilevel"/>
    <w:tmpl w:val="1FF2F0A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8"/>
  </w:num>
  <w:num w:numId="6">
    <w:abstractNumId w:val="6"/>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DC"/>
    <w:rsid w:val="00024532"/>
    <w:rsid w:val="00066133"/>
    <w:rsid w:val="000A52DB"/>
    <w:rsid w:val="00130C80"/>
    <w:rsid w:val="001654B8"/>
    <w:rsid w:val="001812BB"/>
    <w:rsid w:val="001829A5"/>
    <w:rsid w:val="001A2630"/>
    <w:rsid w:val="001D0E8F"/>
    <w:rsid w:val="00292725"/>
    <w:rsid w:val="002E5B5F"/>
    <w:rsid w:val="002E7B37"/>
    <w:rsid w:val="00307476"/>
    <w:rsid w:val="00315E09"/>
    <w:rsid w:val="0033144F"/>
    <w:rsid w:val="003D7ED3"/>
    <w:rsid w:val="00416D9D"/>
    <w:rsid w:val="004C55DE"/>
    <w:rsid w:val="006746DD"/>
    <w:rsid w:val="006D7B17"/>
    <w:rsid w:val="00730AD2"/>
    <w:rsid w:val="00757F73"/>
    <w:rsid w:val="00762C4F"/>
    <w:rsid w:val="007840D6"/>
    <w:rsid w:val="00790D92"/>
    <w:rsid w:val="00796540"/>
    <w:rsid w:val="00832367"/>
    <w:rsid w:val="008B3D11"/>
    <w:rsid w:val="00910A37"/>
    <w:rsid w:val="009955BC"/>
    <w:rsid w:val="009E76F8"/>
    <w:rsid w:val="00A67951"/>
    <w:rsid w:val="00A96B8D"/>
    <w:rsid w:val="00B56B2B"/>
    <w:rsid w:val="00B81052"/>
    <w:rsid w:val="00C4436D"/>
    <w:rsid w:val="00C60DEF"/>
    <w:rsid w:val="00CA6655"/>
    <w:rsid w:val="00DB3319"/>
    <w:rsid w:val="00E1051D"/>
    <w:rsid w:val="00E35501"/>
    <w:rsid w:val="00E42F9B"/>
    <w:rsid w:val="00F33C71"/>
    <w:rsid w:val="00F36210"/>
    <w:rsid w:val="00F43ADC"/>
    <w:rsid w:val="00F93EF8"/>
    <w:rsid w:val="00FE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E62B9-D344-44B7-9B4F-519F93F4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7B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B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References,Bullet List,FooterText,List Paragraph1,Colorful List Accent 1"/>
    <w:basedOn w:val="Normal"/>
    <w:link w:val="ListParagraphChar"/>
    <w:uiPriority w:val="34"/>
    <w:qFormat/>
    <w:rsid w:val="00FE3B7C"/>
    <w:pPr>
      <w:ind w:left="720"/>
      <w:contextualSpacing/>
    </w:pPr>
    <w:rPr>
      <w:rFonts w:eastAsiaTheme="minorEastAsia"/>
      <w:lang w:eastAsia="zh-CN"/>
    </w:rPr>
  </w:style>
  <w:style w:type="paragraph" w:styleId="NoSpacing">
    <w:name w:val="No Spacing"/>
    <w:basedOn w:val="Normal"/>
    <w:uiPriority w:val="1"/>
    <w:qFormat/>
    <w:rsid w:val="00F36210"/>
    <w:pPr>
      <w:spacing w:after="0" w:line="240" w:lineRule="auto"/>
    </w:pPr>
    <w:rPr>
      <w:rFonts w:asciiTheme="majorHAnsi" w:eastAsiaTheme="minorEastAsia" w:hAnsiTheme="majorHAnsi" w:cstheme="majorBidi"/>
    </w:rPr>
  </w:style>
  <w:style w:type="paragraph" w:styleId="BalloonText">
    <w:name w:val="Balloon Text"/>
    <w:basedOn w:val="Normal"/>
    <w:link w:val="BalloonTextChar"/>
    <w:uiPriority w:val="99"/>
    <w:semiHidden/>
    <w:unhideWhenUsed/>
    <w:rsid w:val="00F3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210"/>
    <w:rPr>
      <w:rFonts w:ascii="Tahoma" w:hAnsi="Tahoma" w:cs="Tahoma"/>
      <w:sz w:val="16"/>
      <w:szCs w:val="16"/>
    </w:rPr>
  </w:style>
  <w:style w:type="character" w:customStyle="1" w:styleId="Heading1Char">
    <w:name w:val="Heading 1 Char"/>
    <w:basedOn w:val="DefaultParagraphFont"/>
    <w:link w:val="Heading1"/>
    <w:uiPriority w:val="9"/>
    <w:rsid w:val="002E7B37"/>
    <w:rPr>
      <w:rFonts w:ascii="Times New Roman" w:eastAsia="Times New Roman" w:hAnsi="Times New Roman" w:cs="Times New Roman"/>
      <w:b/>
      <w:bCs/>
      <w:kern w:val="36"/>
      <w:sz w:val="48"/>
      <w:szCs w:val="48"/>
    </w:rPr>
  </w:style>
  <w:style w:type="character" w:customStyle="1" w:styleId="ListParagraphChar">
    <w:name w:val="List Paragraph Char"/>
    <w:aliases w:val="References Char,Bullet List Char,FooterText Char,List Paragraph1 Char,Colorful List Accent 1 Char"/>
    <w:basedOn w:val="DefaultParagraphFont"/>
    <w:link w:val="ListParagraph"/>
    <w:uiPriority w:val="34"/>
    <w:locked/>
    <w:rsid w:val="00A67951"/>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9070">
      <w:bodyDiv w:val="1"/>
      <w:marLeft w:val="0"/>
      <w:marRight w:val="0"/>
      <w:marTop w:val="0"/>
      <w:marBottom w:val="0"/>
      <w:divBdr>
        <w:top w:val="none" w:sz="0" w:space="0" w:color="auto"/>
        <w:left w:val="none" w:sz="0" w:space="0" w:color="auto"/>
        <w:bottom w:val="none" w:sz="0" w:space="0" w:color="auto"/>
        <w:right w:val="none" w:sz="0" w:space="0" w:color="auto"/>
      </w:divBdr>
    </w:div>
    <w:div w:id="531455179">
      <w:bodyDiv w:val="1"/>
      <w:marLeft w:val="0"/>
      <w:marRight w:val="0"/>
      <w:marTop w:val="0"/>
      <w:marBottom w:val="0"/>
      <w:divBdr>
        <w:top w:val="none" w:sz="0" w:space="0" w:color="auto"/>
        <w:left w:val="none" w:sz="0" w:space="0" w:color="auto"/>
        <w:bottom w:val="none" w:sz="0" w:space="0" w:color="auto"/>
        <w:right w:val="none" w:sz="0" w:space="0" w:color="auto"/>
      </w:divBdr>
    </w:div>
    <w:div w:id="778911083">
      <w:bodyDiv w:val="1"/>
      <w:marLeft w:val="0"/>
      <w:marRight w:val="0"/>
      <w:marTop w:val="0"/>
      <w:marBottom w:val="0"/>
      <w:divBdr>
        <w:top w:val="none" w:sz="0" w:space="0" w:color="auto"/>
        <w:left w:val="none" w:sz="0" w:space="0" w:color="auto"/>
        <w:bottom w:val="none" w:sz="0" w:space="0" w:color="auto"/>
        <w:right w:val="none" w:sz="0" w:space="0" w:color="auto"/>
      </w:divBdr>
      <w:divsChild>
        <w:div w:id="1299721753">
          <w:marLeft w:val="547"/>
          <w:marRight w:val="0"/>
          <w:marTop w:val="240"/>
          <w:marBottom w:val="0"/>
          <w:divBdr>
            <w:top w:val="none" w:sz="0" w:space="0" w:color="auto"/>
            <w:left w:val="none" w:sz="0" w:space="0" w:color="auto"/>
            <w:bottom w:val="none" w:sz="0" w:space="0" w:color="auto"/>
            <w:right w:val="none" w:sz="0" w:space="0" w:color="auto"/>
          </w:divBdr>
        </w:div>
        <w:div w:id="951979152">
          <w:marLeft w:val="1166"/>
          <w:marRight w:val="0"/>
          <w:marTop w:val="240"/>
          <w:marBottom w:val="0"/>
          <w:divBdr>
            <w:top w:val="none" w:sz="0" w:space="0" w:color="auto"/>
            <w:left w:val="none" w:sz="0" w:space="0" w:color="auto"/>
            <w:bottom w:val="none" w:sz="0" w:space="0" w:color="auto"/>
            <w:right w:val="none" w:sz="0" w:space="0" w:color="auto"/>
          </w:divBdr>
        </w:div>
        <w:div w:id="428701516">
          <w:marLeft w:val="547"/>
          <w:marRight w:val="0"/>
          <w:marTop w:val="360"/>
          <w:marBottom w:val="0"/>
          <w:divBdr>
            <w:top w:val="none" w:sz="0" w:space="0" w:color="auto"/>
            <w:left w:val="none" w:sz="0" w:space="0" w:color="auto"/>
            <w:bottom w:val="none" w:sz="0" w:space="0" w:color="auto"/>
            <w:right w:val="none" w:sz="0" w:space="0" w:color="auto"/>
          </w:divBdr>
        </w:div>
        <w:div w:id="1469323347">
          <w:marLeft w:val="1166"/>
          <w:marRight w:val="0"/>
          <w:marTop w:val="360"/>
          <w:marBottom w:val="0"/>
          <w:divBdr>
            <w:top w:val="none" w:sz="0" w:space="0" w:color="auto"/>
            <w:left w:val="none" w:sz="0" w:space="0" w:color="auto"/>
            <w:bottom w:val="none" w:sz="0" w:space="0" w:color="auto"/>
            <w:right w:val="none" w:sz="0" w:space="0" w:color="auto"/>
          </w:divBdr>
        </w:div>
      </w:divsChild>
    </w:div>
    <w:div w:id="1346444923">
      <w:bodyDiv w:val="1"/>
      <w:marLeft w:val="0"/>
      <w:marRight w:val="0"/>
      <w:marTop w:val="0"/>
      <w:marBottom w:val="0"/>
      <w:divBdr>
        <w:top w:val="none" w:sz="0" w:space="0" w:color="auto"/>
        <w:left w:val="none" w:sz="0" w:space="0" w:color="auto"/>
        <w:bottom w:val="none" w:sz="0" w:space="0" w:color="auto"/>
        <w:right w:val="none" w:sz="0" w:space="0" w:color="auto"/>
      </w:divBdr>
    </w:div>
    <w:div w:id="14015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dcterms:created xsi:type="dcterms:W3CDTF">2018-09-24T12:43:00Z</dcterms:created>
  <dcterms:modified xsi:type="dcterms:W3CDTF">2018-09-24T12:43:00Z</dcterms:modified>
</cp:coreProperties>
</file>